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62" w:rsidRDefault="00641662">
      <w:pPr>
        <w:spacing w:line="14" w:lineRule="exact"/>
      </w:pPr>
      <w:bookmarkStart w:id="0" w:name="_GoBack"/>
      <w:bookmarkEnd w:id="0"/>
    </w:p>
    <w:p w:rsidR="00641662" w:rsidRDefault="00615C53">
      <w:pPr>
        <w:pStyle w:val="Zkladntext1"/>
        <w:framePr w:w="10422" w:h="677" w:hRule="exact" w:wrap="none" w:vAnchor="page" w:hAnchor="page" w:x="695" w:y="1790"/>
        <w:shd w:val="clear" w:color="auto" w:fill="auto"/>
        <w:spacing w:line="331" w:lineRule="auto"/>
        <w:ind w:right="10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Dodatek č. 3 ke smlouvě č.07/11/131 - Smlouva o zajištění poskytování služeb elektronických</w:t>
      </w:r>
      <w:r>
        <w:rPr>
          <w:b/>
          <w:bCs/>
          <w:sz w:val="20"/>
          <w:szCs w:val="20"/>
        </w:rPr>
        <w:br/>
        <w:t>komunikací v mobilních sítích ze dne 24. 5. 2007</w:t>
      </w:r>
    </w:p>
    <w:p w:rsidR="00641662" w:rsidRDefault="00615C53">
      <w:pPr>
        <w:pStyle w:val="Jin0"/>
        <w:framePr w:wrap="none" w:vAnchor="page" w:hAnchor="page" w:x="5879" w:y="2467"/>
        <w:shd w:val="clear" w:color="auto" w:fill="auto"/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:rsidR="00641662" w:rsidRDefault="00615C53">
      <w:pPr>
        <w:pStyle w:val="Nadpis10"/>
        <w:framePr w:w="10422" w:h="3496" w:hRule="exact" w:wrap="none" w:vAnchor="page" w:hAnchor="page" w:x="695" w:y="2740"/>
        <w:shd w:val="clear" w:color="auto" w:fill="auto"/>
        <w:ind w:left="0"/>
      </w:pPr>
      <w:bookmarkStart w:id="1" w:name="bookmark0"/>
      <w:r>
        <w:t>v návaznosti na Dohodu o poskytování služeb elektronických komunikací v mobilních sítích uzavřené mezi</w:t>
      </w:r>
      <w:r>
        <w:br/>
        <w:t>ČD -Telematika, a.s., České dráhy, a.s. a Správa železniční dopravní cesty, státní organizace,</w:t>
      </w:r>
      <w:bookmarkEnd w:id="1"/>
    </w:p>
    <w:p w:rsidR="00641662" w:rsidRDefault="00615C53">
      <w:pPr>
        <w:pStyle w:val="Nadpis10"/>
        <w:framePr w:w="10422" w:h="3496" w:hRule="exact" w:wrap="none" w:vAnchor="page" w:hAnchor="page" w:x="695" w:y="2740"/>
        <w:shd w:val="clear" w:color="auto" w:fill="auto"/>
        <w:spacing w:after="240"/>
        <w:ind w:left="0"/>
      </w:pPr>
      <w:bookmarkStart w:id="2" w:name="bookmark1"/>
      <w:r>
        <w:t>a Dodatek č. 2 z 13. 3. 2009</w:t>
      </w:r>
      <w:bookmarkEnd w:id="2"/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after="220" w:line="240" w:lineRule="auto"/>
        <w:ind w:left="940" w:hanging="940"/>
        <w:rPr>
          <w:sz w:val="20"/>
          <w:szCs w:val="20"/>
        </w:rPr>
      </w:pPr>
      <w:r>
        <w:rPr>
          <w:sz w:val="20"/>
          <w:szCs w:val="20"/>
        </w:rPr>
        <w:t>Dodatek č. 3 se uzavírá mezi smluvními stranami:</w:t>
      </w:r>
    </w:p>
    <w:p w:rsidR="00641662" w:rsidRDefault="00615C53">
      <w:pPr>
        <w:pStyle w:val="Nadpis10"/>
        <w:framePr w:w="10422" w:h="3496" w:hRule="exact" w:wrap="none" w:vAnchor="page" w:hAnchor="page" w:x="695" w:y="2740"/>
        <w:shd w:val="clear" w:color="auto" w:fill="auto"/>
        <w:spacing w:line="240" w:lineRule="auto"/>
        <w:ind w:left="940" w:right="0" w:hanging="940"/>
        <w:jc w:val="left"/>
      </w:pPr>
      <w:bookmarkStart w:id="3" w:name="bookmark2"/>
      <w:r>
        <w:t>ČD - Telematika a.s.</w:t>
      </w:r>
      <w:bookmarkEnd w:id="3"/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hanging="940"/>
      </w:pPr>
      <w:r>
        <w:t>se sídlem Praha 3, Pernerova 2819/2a, PSČ: 130 00</w:t>
      </w:r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hanging="940"/>
      </w:pPr>
      <w:r>
        <w:t>IČ: 614 59 445</w:t>
      </w:r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hanging="940"/>
      </w:pPr>
      <w:r>
        <w:t>DIČ: CZ61459445</w:t>
      </w:r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right="1240" w:hanging="940"/>
      </w:pPr>
      <w:r>
        <w:t>jednající: Ing. Juraj Rakovský, MBA, předseda představenstva a Ing. Václav Studený, místopředseda představenstva</w:t>
      </w:r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hanging="940"/>
      </w:pPr>
      <w:r>
        <w:t>společnost je zapsaná v obchodním rejstříku vedeném Městským soudem v Praze, oddíl B, vložka 8938</w:t>
      </w:r>
    </w:p>
    <w:p w:rsidR="00641662" w:rsidRDefault="00615C53">
      <w:pPr>
        <w:pStyle w:val="Zkladntext1"/>
        <w:framePr w:w="10422" w:h="3496" w:hRule="exact" w:wrap="none" w:vAnchor="page" w:hAnchor="page" w:x="695" w:y="2740"/>
        <w:shd w:val="clear" w:color="auto" w:fill="auto"/>
        <w:spacing w:line="240" w:lineRule="auto"/>
        <w:ind w:left="940" w:hanging="940"/>
      </w:pPr>
      <w:r>
        <w:t>(dále jen „Poskytovatel“)</w:t>
      </w:r>
    </w:p>
    <w:p w:rsidR="00641662" w:rsidRDefault="00615C53">
      <w:pPr>
        <w:pStyle w:val="Jin0"/>
        <w:framePr w:wrap="none" w:vAnchor="page" w:hAnchor="page" w:x="731" w:y="6398"/>
        <w:shd w:val="clear" w:color="auto" w:fill="auto"/>
        <w:spacing w:line="240" w:lineRule="auto"/>
        <w:jc w:val="both"/>
      </w:pPr>
      <w:r>
        <w:t>a</w:t>
      </w:r>
    </w:p>
    <w:p w:rsidR="00641662" w:rsidRDefault="00615C53" w:rsidP="00A448FB">
      <w:pPr>
        <w:pStyle w:val="Nadpis10"/>
        <w:framePr w:w="10578" w:h="7290" w:hRule="exact" w:wrap="none" w:vAnchor="page" w:hAnchor="page" w:x="695" w:y="6844"/>
        <w:shd w:val="clear" w:color="auto" w:fill="auto"/>
        <w:spacing w:line="264" w:lineRule="auto"/>
        <w:ind w:left="940" w:right="0" w:hanging="940"/>
        <w:jc w:val="left"/>
      </w:pPr>
      <w:bookmarkStart w:id="4" w:name="bookmark3"/>
      <w:r>
        <w:t xml:space="preserve">Správa železniční dopravní cesty, </w:t>
      </w:r>
      <w:proofErr w:type="spellStart"/>
      <w:proofErr w:type="gramStart"/>
      <w:r>
        <w:t>s.o</w:t>
      </w:r>
      <w:proofErr w:type="spellEnd"/>
      <w:r>
        <w:t>.</w:t>
      </w:r>
      <w:bookmarkEnd w:id="4"/>
      <w:proofErr w:type="gramEnd"/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line="264" w:lineRule="auto"/>
        <w:ind w:left="940" w:hanging="940"/>
      </w:pPr>
      <w:r>
        <w:t>se sídlem Dlážděná 1003/7, Praha 1, PSČ 110 00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line="264" w:lineRule="auto"/>
        <w:ind w:left="940" w:hanging="940"/>
      </w:pPr>
      <w:r>
        <w:t>IČ: 70994234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line="264" w:lineRule="auto"/>
        <w:ind w:left="940" w:hanging="940"/>
      </w:pPr>
      <w:r>
        <w:t>DIČ: CZ70994234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line="264" w:lineRule="auto"/>
        <w:ind w:left="940" w:hanging="940"/>
      </w:pPr>
      <w:r>
        <w:t>Jednající: Ing. Jan Komárek, generální ředitel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line="264" w:lineRule="auto"/>
        <w:ind w:left="940" w:hanging="940"/>
      </w:pPr>
      <w:r>
        <w:t>Společnost je zapsaná v obchodním rejstříku vedeném Městským soudem v Praze, oddíl A, vložka 48384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after="220" w:line="264" w:lineRule="auto"/>
        <w:ind w:left="940" w:hanging="940"/>
      </w:pPr>
      <w:r>
        <w:t>(dále jen „Účastník“)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shd w:val="clear" w:color="auto" w:fill="auto"/>
        <w:spacing w:after="240" w:line="252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ČD Telematika, a.s. a Správa železniční dopravní cesty, státní organizace se dohodly na následujících změnách výše uvedené Smlouvy a navazujících dokumentů: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numPr>
          <w:ilvl w:val="0"/>
          <w:numId w:val="1"/>
        </w:numPr>
        <w:shd w:val="clear" w:color="auto" w:fill="auto"/>
        <w:tabs>
          <w:tab w:val="left" w:pos="1078"/>
        </w:tabs>
        <w:spacing w:line="264" w:lineRule="auto"/>
        <w:ind w:firstLine="380"/>
      </w:pPr>
      <w:r>
        <w:t>Tímto dodatkem se mění Příloha č. 6 Smlouvy, jejíž nové znění tvoří přílohu k tomuto dodatku.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numPr>
          <w:ilvl w:val="0"/>
          <w:numId w:val="1"/>
        </w:numPr>
        <w:shd w:val="clear" w:color="auto" w:fill="auto"/>
        <w:tabs>
          <w:tab w:val="left" w:pos="1078"/>
        </w:tabs>
        <w:spacing w:line="264" w:lineRule="auto"/>
        <w:ind w:firstLine="380"/>
      </w:pPr>
      <w:r>
        <w:t>Ostatní ustanovení Smlouvy č. 07/11/131 a navazujících dokumentů se nemění.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numPr>
          <w:ilvl w:val="0"/>
          <w:numId w:val="1"/>
        </w:numPr>
        <w:shd w:val="clear" w:color="auto" w:fill="auto"/>
        <w:tabs>
          <w:tab w:val="left" w:pos="1078"/>
        </w:tabs>
        <w:spacing w:line="264" w:lineRule="auto"/>
        <w:ind w:firstLine="380"/>
      </w:pPr>
      <w:r>
        <w:t>Dodatek je vyhotoven ve čtyřech vyhotoveních, z nichž jedno obdrží Poskytovatel a tři vyhotovení Účastník.</w:t>
      </w:r>
    </w:p>
    <w:p w:rsidR="00641662" w:rsidRDefault="00615C53" w:rsidP="00A448FB">
      <w:pPr>
        <w:pStyle w:val="Zkladntext1"/>
        <w:framePr w:w="10578" w:h="7290" w:hRule="exact" w:wrap="none" w:vAnchor="page" w:hAnchor="page" w:x="695" w:y="6844"/>
        <w:numPr>
          <w:ilvl w:val="0"/>
          <w:numId w:val="1"/>
        </w:numPr>
        <w:shd w:val="clear" w:color="auto" w:fill="auto"/>
        <w:tabs>
          <w:tab w:val="left" w:pos="1078"/>
        </w:tabs>
        <w:spacing w:line="264" w:lineRule="auto"/>
        <w:ind w:firstLine="380"/>
      </w:pPr>
      <w:r>
        <w:t>Dodatek nabývá platnosti a účinností dnem 1. 9. 2009</w:t>
      </w: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Pr="00A43D83" w:rsidRDefault="00A448FB" w:rsidP="00A448FB">
      <w:pPr>
        <w:framePr w:w="10578" w:h="7290" w:hRule="exact" w:wrap="none" w:vAnchor="page" w:hAnchor="page" w:x="695" w:y="6844"/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  <w:r>
        <w:rPr>
          <w:sz w:val="20"/>
          <w:szCs w:val="20"/>
        </w:rPr>
        <w:t xml:space="preserve">                         </w:t>
      </w:r>
      <w:r w:rsidRPr="00A43D83">
        <w:rPr>
          <w:rFonts w:ascii="Arial" w:eastAsia="Arial" w:hAnsi="Arial" w:cs="Arial"/>
          <w:sz w:val="19"/>
          <w:szCs w:val="19"/>
        </w:rPr>
        <w:t xml:space="preserve">V Praze dne: </w:t>
      </w:r>
      <w:proofErr w:type="gramStart"/>
      <w:r>
        <w:rPr>
          <w:rFonts w:ascii="Arial" w:eastAsia="Arial" w:hAnsi="Arial" w:cs="Arial"/>
          <w:sz w:val="19"/>
          <w:szCs w:val="19"/>
        </w:rPr>
        <w:t>24.11.2009</w:t>
      </w:r>
      <w:proofErr w:type="gramEnd"/>
      <w:r w:rsidRPr="00A43D83">
        <w:rPr>
          <w:rFonts w:ascii="Arial" w:eastAsia="Arial" w:hAnsi="Arial" w:cs="Arial"/>
          <w:sz w:val="19"/>
          <w:szCs w:val="19"/>
        </w:rPr>
        <w:tab/>
      </w:r>
      <w:r w:rsidRPr="00A43D83">
        <w:rPr>
          <w:rFonts w:ascii="Arial" w:eastAsia="Arial" w:hAnsi="Arial" w:cs="Arial"/>
          <w:sz w:val="19"/>
          <w:szCs w:val="19"/>
        </w:rPr>
        <w:tab/>
      </w:r>
      <w:r w:rsidRPr="00A43D83">
        <w:rPr>
          <w:rFonts w:ascii="Arial" w:eastAsia="Arial" w:hAnsi="Arial" w:cs="Arial"/>
          <w:sz w:val="19"/>
          <w:szCs w:val="19"/>
        </w:rPr>
        <w:tab/>
        <w:t xml:space="preserve">V Praze dne: </w:t>
      </w:r>
      <w:proofErr w:type="gramStart"/>
      <w:r>
        <w:rPr>
          <w:rFonts w:ascii="Arial" w:eastAsia="Arial" w:hAnsi="Arial" w:cs="Arial"/>
          <w:sz w:val="19"/>
          <w:szCs w:val="19"/>
        </w:rPr>
        <w:t>24.11.2009</w:t>
      </w:r>
      <w:proofErr w:type="gramEnd"/>
    </w:p>
    <w:p w:rsidR="00A448FB" w:rsidRDefault="00A448FB" w:rsidP="00A448FB">
      <w:pPr>
        <w:pStyle w:val="Nadpis10"/>
        <w:framePr w:w="10578" w:h="7290" w:hRule="exact" w:wrap="none" w:vAnchor="page" w:hAnchor="page" w:x="695" w:y="6844"/>
        <w:shd w:val="clear" w:color="auto" w:fill="auto"/>
        <w:spacing w:line="264" w:lineRule="auto"/>
        <w:ind w:left="940" w:right="0" w:hanging="940"/>
        <w:jc w:val="left"/>
      </w:pPr>
      <w:r>
        <w:tab/>
      </w:r>
      <w:r>
        <w:tab/>
      </w:r>
      <w:r w:rsidRPr="00615C53">
        <w:rPr>
          <w:b w:val="0"/>
        </w:rPr>
        <w:t>Za ČD - Telematika a.s.</w:t>
      </w:r>
      <w:r w:rsidRPr="00615C53">
        <w:rPr>
          <w:b w:val="0"/>
        </w:rPr>
        <w:tab/>
      </w:r>
      <w:r>
        <w:tab/>
      </w:r>
      <w:r>
        <w:tab/>
        <w:t xml:space="preserve">             </w:t>
      </w:r>
      <w:r w:rsidR="00615C53">
        <w:t xml:space="preserve">   </w:t>
      </w:r>
      <w:r w:rsidRPr="00615C53">
        <w:rPr>
          <w:b w:val="0"/>
        </w:rPr>
        <w:t xml:space="preserve">Za Správa železniční dopravní cesty, </w:t>
      </w:r>
      <w:proofErr w:type="spellStart"/>
      <w:r w:rsidRPr="00615C53">
        <w:rPr>
          <w:b w:val="0"/>
        </w:rPr>
        <w:t>s.o</w:t>
      </w:r>
      <w:proofErr w:type="spellEnd"/>
      <w:r w:rsidRPr="00615C53">
        <w:rPr>
          <w:b w:val="0"/>
        </w:rPr>
        <w:t>.</w:t>
      </w:r>
    </w:p>
    <w:p w:rsidR="00A448FB" w:rsidRPr="00A43D83" w:rsidRDefault="00A448FB" w:rsidP="00A448FB">
      <w:pPr>
        <w:framePr w:w="10578" w:h="7290" w:hRule="exact" w:wrap="none" w:vAnchor="page" w:hAnchor="page" w:x="695" w:y="6844"/>
        <w:rPr>
          <w:rFonts w:ascii="Arial" w:eastAsia="Arial" w:hAnsi="Arial" w:cs="Arial"/>
          <w:sz w:val="19"/>
          <w:szCs w:val="19"/>
        </w:rPr>
      </w:pPr>
    </w:p>
    <w:p w:rsidR="00A448FB" w:rsidRPr="00A43D83" w:rsidRDefault="00A448FB" w:rsidP="00A448FB">
      <w:pPr>
        <w:framePr w:w="10578" w:h="7290" w:hRule="exact" w:wrap="none" w:vAnchor="page" w:hAnchor="page" w:x="695" w:y="68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z w:val="19"/>
          <w:szCs w:val="19"/>
        </w:rPr>
        <w:t>xx</w:t>
      </w:r>
      <w:proofErr w:type="spellEnd"/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 w:rsidRPr="00A43D83">
        <w:rPr>
          <w:rFonts w:ascii="Arial" w:eastAsia="Arial" w:hAnsi="Arial" w:cs="Arial"/>
          <w:sz w:val="19"/>
          <w:szCs w:val="19"/>
        </w:rPr>
        <w:t>xx</w:t>
      </w:r>
      <w:proofErr w:type="spellEnd"/>
    </w:p>
    <w:p w:rsidR="00A448FB" w:rsidRPr="00A43D83" w:rsidRDefault="00A448FB" w:rsidP="00A448FB">
      <w:pPr>
        <w:framePr w:w="10578" w:h="7290" w:hRule="exact" w:wrap="none" w:vAnchor="page" w:hAnchor="page" w:x="695" w:y="6844"/>
        <w:rPr>
          <w:rFonts w:ascii="Arial" w:eastAsia="Arial" w:hAnsi="Arial" w:cs="Arial"/>
          <w:sz w:val="19"/>
          <w:szCs w:val="19"/>
        </w:rPr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A448FB" w:rsidRDefault="00A448FB" w:rsidP="00A448FB">
      <w:pPr>
        <w:pStyle w:val="Zkladntext1"/>
        <w:framePr w:w="10578" w:h="7290" w:hRule="exact" w:wrap="none" w:vAnchor="page" w:hAnchor="page" w:x="695" w:y="6844"/>
        <w:shd w:val="clear" w:color="auto" w:fill="auto"/>
        <w:tabs>
          <w:tab w:val="left" w:pos="1078"/>
        </w:tabs>
        <w:spacing w:line="264" w:lineRule="auto"/>
      </w:pPr>
    </w:p>
    <w:p w:rsidR="00641662" w:rsidRDefault="00641662">
      <w:pPr>
        <w:pStyle w:val="Titulekobrzku0"/>
        <w:framePr w:wrap="none" w:vAnchor="page" w:hAnchor="page" w:x="3154" w:y="12777"/>
        <w:shd w:val="clear" w:color="auto" w:fill="auto"/>
      </w:pPr>
    </w:p>
    <w:p w:rsidR="00641662" w:rsidRDefault="00615C53">
      <w:pPr>
        <w:pStyle w:val="Jin0"/>
        <w:framePr w:wrap="none" w:vAnchor="page" w:hAnchor="page" w:x="10987" w:y="15232"/>
        <w:shd w:val="clear" w:color="auto" w:fill="auto"/>
        <w:spacing w:line="240" w:lineRule="auto"/>
        <w:jc w:val="both"/>
      </w:pPr>
      <w:r>
        <w:t>l</w:t>
      </w:r>
    </w:p>
    <w:p w:rsidR="00641662" w:rsidRDefault="00641662">
      <w:pPr>
        <w:spacing w:line="14" w:lineRule="exact"/>
      </w:pPr>
    </w:p>
    <w:sectPr w:rsidR="006416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C3" w:rsidRDefault="00615C53">
      <w:r>
        <w:separator/>
      </w:r>
    </w:p>
  </w:endnote>
  <w:endnote w:type="continuationSeparator" w:id="0">
    <w:p w:rsidR="00742EC3" w:rsidRDefault="0061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62" w:rsidRDefault="00641662"/>
  </w:footnote>
  <w:footnote w:type="continuationSeparator" w:id="0">
    <w:p w:rsidR="00641662" w:rsidRDefault="006416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31D9"/>
    <w:multiLevelType w:val="multilevel"/>
    <w:tmpl w:val="00E2330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1662"/>
    <w:rsid w:val="00615C53"/>
    <w:rsid w:val="00641662"/>
    <w:rsid w:val="00742EC3"/>
    <w:rsid w:val="00A25399"/>
    <w:rsid w:val="00A4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6" w:lineRule="auto"/>
      <w:ind w:left="470" w:right="100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940" w:hanging="94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6" w:lineRule="auto"/>
      <w:ind w:left="470" w:right="100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940" w:hanging="94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2</cp:revision>
  <dcterms:created xsi:type="dcterms:W3CDTF">2019-09-05T07:57:00Z</dcterms:created>
  <dcterms:modified xsi:type="dcterms:W3CDTF">2019-09-05T07:57:00Z</dcterms:modified>
</cp:coreProperties>
</file>